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cs="Times New Roman"/>
        </w:rPr>
      </w:pPr>
      <w:r>
        <w:rPr>
          <w:rFonts w:hint="eastAsia" w:ascii="华文中宋" w:hAnsi="华文中宋" w:eastAsia="华文中宋" w:cs="宋体"/>
          <w:bCs/>
          <w:kern w:val="0"/>
          <w:sz w:val="44"/>
          <w:szCs w:val="44"/>
        </w:rPr>
        <w:t>北京师范大学大学强基计划培养方案</w:t>
      </w:r>
    </w:p>
    <w:p>
      <w:pPr>
        <w:pStyle w:val="2"/>
        <w:ind w:firstLine="480"/>
      </w:pPr>
    </w:p>
    <w:p>
      <w:pPr>
        <w:snapToGrid w:val="0"/>
        <w:spacing w:line="300" w:lineRule="auto"/>
        <w:ind w:firstLine="640"/>
        <w:rPr>
          <w:rFonts w:ascii="仿宋" w:hAnsi="仿宋" w:eastAsia="仿宋"/>
          <w:sz w:val="32"/>
          <w:szCs w:val="32"/>
        </w:rPr>
      </w:pPr>
      <w:r>
        <w:rPr>
          <w:rFonts w:ascii="仿宋" w:hAnsi="仿宋" w:eastAsia="仿宋"/>
          <w:sz w:val="32"/>
          <w:szCs w:val="32"/>
        </w:rPr>
        <w:t>根据《教育部关于在部分高校开展基础学科招生改革试点工作的意见》（教学〔2020〕1号）</w:t>
      </w:r>
      <w:r>
        <w:rPr>
          <w:rFonts w:hint="eastAsia" w:ascii="仿宋" w:hAnsi="仿宋" w:eastAsia="仿宋"/>
          <w:sz w:val="32"/>
          <w:szCs w:val="32"/>
        </w:rPr>
        <w:t>等文件要求</w:t>
      </w:r>
      <w:r>
        <w:rPr>
          <w:rFonts w:ascii="仿宋" w:hAnsi="仿宋" w:eastAsia="仿宋"/>
          <w:sz w:val="32"/>
          <w:szCs w:val="32"/>
        </w:rPr>
        <w:t>，加强强基计划招生和培养的有效衔接，特制定培养方案如下。</w:t>
      </w:r>
    </w:p>
    <w:p>
      <w:pPr>
        <w:snapToGrid w:val="0"/>
        <w:spacing w:before="156" w:beforeLines="50" w:after="156" w:afterLines="50" w:line="300" w:lineRule="auto"/>
        <w:ind w:firstLine="0" w:firstLineChars="0"/>
        <w:jc w:val="center"/>
        <w:rPr>
          <w:rFonts w:ascii="华文中宋" w:hAnsi="华文中宋" w:eastAsia="华文中宋" w:cs="宋体"/>
          <w:bCs/>
          <w:kern w:val="0"/>
          <w:sz w:val="32"/>
          <w:szCs w:val="32"/>
        </w:rPr>
      </w:pPr>
      <w:r>
        <w:rPr>
          <w:rFonts w:hint="eastAsia" w:ascii="华文中宋" w:hAnsi="华文中宋" w:eastAsia="华文中宋" w:cs="宋体"/>
          <w:bCs/>
          <w:kern w:val="0"/>
          <w:sz w:val="36"/>
          <w:szCs w:val="32"/>
        </w:rPr>
        <w:t>物理学专业</w:t>
      </w:r>
    </w:p>
    <w:p>
      <w:pPr>
        <w:pStyle w:val="4"/>
        <w:widowControl w:val="0"/>
        <w:snapToGrid w:val="0"/>
        <w:spacing w:before="156" w:beforeLines="50" w:after="156" w:afterLines="50" w:line="300" w:lineRule="auto"/>
        <w:ind w:firstLine="640"/>
        <w:rPr>
          <w:rFonts w:ascii="黑体" w:hAnsi="黑体" w:cs="Times New Roman"/>
          <w:sz w:val="32"/>
        </w:rPr>
      </w:pPr>
      <w:r>
        <w:rPr>
          <w:rFonts w:hint="eastAsia" w:ascii="黑体" w:hAnsi="黑体" w:cs="Times New Roman"/>
          <w:sz w:val="32"/>
        </w:rPr>
        <w:t>一</w:t>
      </w:r>
      <w:r>
        <w:rPr>
          <w:rFonts w:ascii="黑体" w:hAnsi="黑体" w:cs="Times New Roman"/>
          <w:sz w:val="32"/>
        </w:rPr>
        <w:t>、基本情况</w:t>
      </w:r>
    </w:p>
    <w:p>
      <w:pPr>
        <w:snapToGrid w:val="0"/>
        <w:spacing w:line="300" w:lineRule="auto"/>
        <w:ind w:firstLine="643"/>
        <w:rPr>
          <w:rFonts w:ascii="仿宋" w:hAnsi="仿宋" w:eastAsia="仿宋"/>
          <w:b/>
          <w:sz w:val="32"/>
          <w:szCs w:val="32"/>
        </w:rPr>
      </w:pPr>
      <w:r>
        <w:rPr>
          <w:rFonts w:hint="eastAsia" w:ascii="仿宋" w:hAnsi="仿宋" w:eastAsia="仿宋"/>
          <w:b/>
          <w:sz w:val="32"/>
          <w:szCs w:val="32"/>
        </w:rPr>
        <w:t>1.专业简介</w:t>
      </w:r>
    </w:p>
    <w:p>
      <w:pPr>
        <w:snapToGrid w:val="0"/>
        <w:spacing w:line="300" w:lineRule="auto"/>
        <w:ind w:firstLine="640"/>
        <w:rPr>
          <w:rFonts w:ascii="仿宋" w:hAnsi="仿宋" w:eastAsia="仿宋"/>
          <w:sz w:val="32"/>
          <w:szCs w:val="32"/>
        </w:rPr>
      </w:pPr>
      <w:r>
        <w:rPr>
          <w:rFonts w:hint="eastAsia" w:ascii="仿宋" w:hAnsi="仿宋" w:eastAsia="仿宋"/>
          <w:sz w:val="32"/>
          <w:szCs w:val="32"/>
        </w:rPr>
        <w:t>北京师范大学物理学科已有百余年历史，它可追溯到1904年在京师大学堂优级师范馆开设的物理学课程。1911年创建数学物理部，192</w:t>
      </w:r>
      <w:r>
        <w:rPr>
          <w:rFonts w:ascii="仿宋" w:hAnsi="仿宋" w:eastAsia="仿宋"/>
          <w:sz w:val="32"/>
          <w:szCs w:val="32"/>
        </w:rPr>
        <w:t>4</w:t>
      </w:r>
      <w:r>
        <w:rPr>
          <w:rFonts w:hint="eastAsia" w:ascii="仿宋" w:hAnsi="仿宋" w:eastAsia="仿宋"/>
          <w:sz w:val="32"/>
          <w:szCs w:val="32"/>
        </w:rPr>
        <w:t>年正式成立物理系。一批著名的物理学家和教育家如张贻惠、张宗燧、郑华炽、黄祖洽等在此从教。拥有物理学一级学科博士学位授权点，下设理论物理、凝聚态物理、光学、粒子物理与原子核物理4个二级学科。近年来物理学科ESI国际学科排名一直保持在前1%。物理学专业入选“国家理科基础科学研究和教学人才培养基地”，入选首批国家级一流本科专业建设点。</w:t>
      </w:r>
    </w:p>
    <w:p>
      <w:pPr>
        <w:pStyle w:val="2"/>
        <w:snapToGrid w:val="0"/>
        <w:spacing w:line="300" w:lineRule="auto"/>
        <w:ind w:firstLine="643"/>
        <w:rPr>
          <w:rFonts w:ascii="仿宋" w:hAnsi="仿宋" w:eastAsia="仿宋"/>
          <w:b/>
          <w:sz w:val="32"/>
          <w:szCs w:val="32"/>
        </w:rPr>
      </w:pPr>
      <w:r>
        <w:rPr>
          <w:rFonts w:hint="eastAsia" w:ascii="仿宋" w:hAnsi="仿宋" w:eastAsia="仿宋"/>
          <w:b/>
          <w:sz w:val="32"/>
          <w:szCs w:val="32"/>
        </w:rPr>
        <w:t>2.师资队伍</w:t>
      </w:r>
    </w:p>
    <w:p>
      <w:pPr>
        <w:snapToGrid w:val="0"/>
        <w:spacing w:line="300" w:lineRule="auto"/>
        <w:ind w:firstLine="640"/>
        <w:rPr>
          <w:rFonts w:ascii="仿宋" w:hAnsi="仿宋" w:eastAsia="仿宋"/>
          <w:sz w:val="32"/>
          <w:szCs w:val="32"/>
        </w:rPr>
      </w:pPr>
      <w:r>
        <w:rPr>
          <w:rFonts w:ascii="仿宋" w:hAnsi="仿宋" w:eastAsia="仿宋"/>
          <w:sz w:val="32"/>
          <w:szCs w:val="32"/>
        </w:rPr>
        <w:t>物理</w:t>
      </w:r>
      <w:r>
        <w:rPr>
          <w:rFonts w:hint="eastAsia" w:ascii="仿宋" w:hAnsi="仿宋" w:eastAsia="仿宋"/>
          <w:sz w:val="32"/>
          <w:szCs w:val="32"/>
        </w:rPr>
        <w:t>学系</w:t>
      </w:r>
      <w:r>
        <w:rPr>
          <w:rFonts w:ascii="仿宋" w:hAnsi="仿宋" w:eastAsia="仿宋"/>
          <w:sz w:val="32"/>
          <w:szCs w:val="32"/>
        </w:rPr>
        <w:t>现有专任教师72人，均具有博士学位，37人具有正高级职称，其中杰青2名、优青4名、万人计划青年拔尖人才1名，</w:t>
      </w:r>
      <w:r>
        <w:rPr>
          <w:rFonts w:hint="eastAsia" w:ascii="仿宋" w:hAnsi="仿宋" w:eastAsia="仿宋"/>
          <w:sz w:val="32"/>
          <w:szCs w:val="32"/>
        </w:rPr>
        <w:t>青年</w:t>
      </w:r>
      <w:r>
        <w:rPr>
          <w:rFonts w:ascii="仿宋" w:hAnsi="仿宋" w:eastAsia="仿宋"/>
          <w:sz w:val="32"/>
          <w:szCs w:val="32"/>
        </w:rPr>
        <w:t>长江</w:t>
      </w:r>
      <w:r>
        <w:rPr>
          <w:rFonts w:hint="eastAsia" w:ascii="仿宋" w:hAnsi="仿宋" w:eastAsia="仿宋"/>
          <w:sz w:val="32"/>
          <w:szCs w:val="32"/>
        </w:rPr>
        <w:t>学者1</w:t>
      </w:r>
      <w:bookmarkStart w:id="0" w:name="_GoBack"/>
      <w:bookmarkEnd w:id="0"/>
      <w:r>
        <w:rPr>
          <w:rFonts w:hint="eastAsia" w:ascii="仿宋" w:hAnsi="仿宋" w:eastAsia="仿宋"/>
          <w:sz w:val="32"/>
          <w:szCs w:val="32"/>
        </w:rPr>
        <w:t>人，北京市教学名师奖获得者3人</w:t>
      </w:r>
      <w:r>
        <w:rPr>
          <w:rFonts w:ascii="仿宋" w:hAnsi="仿宋" w:eastAsia="仿宋"/>
          <w:sz w:val="32"/>
          <w:szCs w:val="32"/>
        </w:rPr>
        <w:t xml:space="preserve">。 </w:t>
      </w:r>
    </w:p>
    <w:p>
      <w:pPr>
        <w:snapToGrid w:val="0"/>
        <w:spacing w:line="300" w:lineRule="auto"/>
        <w:ind w:firstLine="643"/>
        <w:rPr>
          <w:sz w:val="32"/>
          <w:szCs w:val="32"/>
        </w:rPr>
      </w:pPr>
      <w:r>
        <w:rPr>
          <w:rFonts w:hint="eastAsia" w:ascii="仿宋" w:hAnsi="仿宋" w:eastAsia="仿宋"/>
          <w:b/>
          <w:kern w:val="0"/>
          <w:sz w:val="32"/>
          <w:szCs w:val="32"/>
        </w:rPr>
        <w:t>3.教学</w:t>
      </w:r>
      <w:r>
        <w:rPr>
          <w:rFonts w:ascii="仿宋" w:hAnsi="仿宋" w:eastAsia="仿宋"/>
          <w:b/>
          <w:kern w:val="0"/>
          <w:sz w:val="32"/>
          <w:szCs w:val="32"/>
        </w:rPr>
        <w:t>及科研条件资源平台</w:t>
      </w:r>
    </w:p>
    <w:p>
      <w:pPr>
        <w:snapToGrid w:val="0"/>
        <w:spacing w:line="300" w:lineRule="auto"/>
        <w:ind w:firstLine="640"/>
        <w:rPr>
          <w:rFonts w:ascii="仿宋" w:hAnsi="仿宋" w:eastAsia="仿宋"/>
          <w:sz w:val="32"/>
          <w:szCs w:val="32"/>
        </w:rPr>
      </w:pPr>
      <w:r>
        <w:rPr>
          <w:rFonts w:hint="eastAsia" w:ascii="仿宋" w:hAnsi="仿宋" w:eastAsia="仿宋"/>
          <w:sz w:val="32"/>
          <w:szCs w:val="32"/>
        </w:rPr>
        <w:t>科研方面，应用光学实验室被评为北京市重点实验室；理论物理是首批国家级重点学科，凝聚态物理被评为北京市重点学科。近年来，物理学系承担了一批国家级、省部级研究项目，其中国家基金委重大、重点项目和“973”、“863”、杰出青年基金等国家级重要项目20 余项，近5 年物理系教师主持3项国家自然科学基金重点项目，获得4 项国家和省部级科研奖。年均在国际著名物理学杂志上发表SCI 论文150 余篇。</w:t>
      </w:r>
    </w:p>
    <w:p>
      <w:pPr>
        <w:pStyle w:val="2"/>
        <w:ind w:firstLine="640"/>
        <w:rPr>
          <w:rFonts w:ascii="仿宋" w:hAnsi="仿宋" w:eastAsia="仿宋"/>
          <w:sz w:val="32"/>
          <w:szCs w:val="32"/>
        </w:rPr>
      </w:pPr>
      <w:r>
        <w:rPr>
          <w:rFonts w:hint="eastAsia" w:ascii="仿宋" w:hAnsi="仿宋" w:eastAsia="仿宋"/>
          <w:sz w:val="32"/>
          <w:szCs w:val="32"/>
        </w:rPr>
        <w:t>自2010年起，参加国家教育体制改革试点项目——“基础学科拔尖学生培养试验计划”，并建立了励耘物理实验班。物理实验教学中心是“北京市实验教学示范中心”。</w:t>
      </w:r>
    </w:p>
    <w:p>
      <w:pPr>
        <w:pStyle w:val="4"/>
        <w:snapToGrid w:val="0"/>
        <w:spacing w:before="156" w:beforeLines="50" w:after="156" w:afterLines="50" w:line="300" w:lineRule="auto"/>
        <w:ind w:firstLine="640"/>
        <w:rPr>
          <w:rFonts w:ascii="黑体" w:hAnsi="黑体"/>
          <w:sz w:val="32"/>
        </w:rPr>
      </w:pPr>
      <w:r>
        <w:rPr>
          <w:rFonts w:ascii="黑体" w:hAnsi="黑体"/>
          <w:sz w:val="32"/>
        </w:rPr>
        <w:t>二、培养目标及培养要求</w:t>
      </w:r>
    </w:p>
    <w:p>
      <w:pPr>
        <w:snapToGrid w:val="0"/>
        <w:spacing w:line="300" w:lineRule="auto"/>
        <w:ind w:firstLine="64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培养目标</w:t>
      </w:r>
    </w:p>
    <w:p>
      <w:pPr>
        <w:snapToGrid w:val="0"/>
        <w:spacing w:line="300" w:lineRule="auto"/>
        <w:ind w:firstLine="640"/>
        <w:rPr>
          <w:rFonts w:ascii="仿宋" w:hAnsi="仿宋" w:eastAsia="仿宋"/>
          <w:sz w:val="32"/>
          <w:szCs w:val="32"/>
        </w:rPr>
      </w:pPr>
      <w:r>
        <w:rPr>
          <w:rFonts w:hint="eastAsia" w:ascii="仿宋" w:hAnsi="仿宋" w:eastAsia="仿宋"/>
          <w:sz w:val="32"/>
          <w:szCs w:val="32"/>
        </w:rPr>
        <w:t>“强基计划”物理学专业致力于培养具有优秀的学术素养和良好道德风貌，宽厚扎实的物理学基础知识和技能，卓越的创新意识和开拓精神，面向国家重大战略需求，引领未来基础学科的拔尖人才和领军人才。</w:t>
      </w:r>
    </w:p>
    <w:p>
      <w:pPr>
        <w:snapToGrid w:val="0"/>
        <w:spacing w:line="300" w:lineRule="auto"/>
        <w:ind w:firstLine="640"/>
        <w:rPr>
          <w:rFonts w:ascii="黑体" w:hAnsi="黑体" w:eastAsia="黑体"/>
          <w:sz w:val="32"/>
          <w:szCs w:val="32"/>
        </w:rPr>
      </w:pPr>
      <w:r>
        <w:rPr>
          <w:rFonts w:ascii="黑体" w:hAnsi="黑体" w:eastAsia="黑体"/>
          <w:sz w:val="32"/>
          <w:szCs w:val="32"/>
        </w:rPr>
        <w:t>2.</w:t>
      </w:r>
      <w:r>
        <w:rPr>
          <w:rFonts w:hint="eastAsia" w:ascii="黑体" w:hAnsi="黑体" w:eastAsia="黑体"/>
          <w:sz w:val="32"/>
          <w:szCs w:val="32"/>
        </w:rPr>
        <w:t>培养要求</w:t>
      </w:r>
    </w:p>
    <w:p>
      <w:pPr>
        <w:pStyle w:val="2"/>
        <w:numPr>
          <w:ilvl w:val="0"/>
          <w:numId w:val="1"/>
        </w:numPr>
        <w:snapToGrid w:val="0"/>
        <w:spacing w:line="300" w:lineRule="auto"/>
        <w:ind w:left="0" w:firstLine="454" w:firstLineChars="0"/>
        <w:rPr>
          <w:rFonts w:ascii="仿宋" w:hAnsi="仿宋" w:eastAsia="仿宋"/>
          <w:sz w:val="32"/>
          <w:szCs w:val="32"/>
        </w:rPr>
      </w:pPr>
      <w:r>
        <w:rPr>
          <w:rFonts w:hint="eastAsia" w:ascii="仿宋" w:hAnsi="仿宋" w:eastAsia="仿宋"/>
          <w:sz w:val="32"/>
          <w:szCs w:val="32"/>
        </w:rPr>
        <w:t>崇尚科学，热爱科学，具备良好的自然科学基础，掌握坚实系统的物理学基础理论和实验方法，及较广泛的相关专业的基础知识。</w:t>
      </w:r>
    </w:p>
    <w:p>
      <w:pPr>
        <w:pStyle w:val="2"/>
        <w:numPr>
          <w:ilvl w:val="0"/>
          <w:numId w:val="1"/>
        </w:numPr>
        <w:snapToGrid w:val="0"/>
        <w:spacing w:line="300" w:lineRule="auto"/>
        <w:ind w:left="0" w:firstLine="454" w:firstLineChars="0"/>
        <w:rPr>
          <w:rFonts w:ascii="仿宋" w:hAnsi="仿宋" w:eastAsia="仿宋"/>
          <w:sz w:val="32"/>
          <w:szCs w:val="32"/>
        </w:rPr>
      </w:pPr>
      <w:r>
        <w:rPr>
          <w:rFonts w:hint="eastAsia" w:ascii="仿宋" w:hAnsi="仿宋" w:eastAsia="仿宋"/>
          <w:sz w:val="32"/>
          <w:szCs w:val="32"/>
        </w:rPr>
        <w:t>加强科研能力的培养和训练，具有较强的创新意识和开拓精神，具有较好的物理学研究能力、应用研发能力，及学术论文撰写能力。</w:t>
      </w:r>
    </w:p>
    <w:p>
      <w:pPr>
        <w:pStyle w:val="2"/>
        <w:numPr>
          <w:ilvl w:val="0"/>
          <w:numId w:val="1"/>
        </w:numPr>
        <w:snapToGrid w:val="0"/>
        <w:spacing w:line="300" w:lineRule="auto"/>
        <w:ind w:left="0" w:firstLine="454" w:firstLineChars="0"/>
        <w:rPr>
          <w:rFonts w:ascii="仿宋" w:hAnsi="仿宋" w:eastAsia="仿宋"/>
          <w:sz w:val="32"/>
          <w:szCs w:val="32"/>
        </w:rPr>
      </w:pPr>
      <w:r>
        <w:rPr>
          <w:rFonts w:hint="eastAsia" w:ascii="仿宋" w:hAnsi="仿宋" w:eastAsia="仿宋"/>
          <w:sz w:val="32"/>
          <w:szCs w:val="32"/>
        </w:rPr>
        <w:t>了解物理学发展及其在高技术和实际生产中应用的前沿与总体趋势，以适应科学技术的发展，和将来从事基础科学研究工作、或应用研发工作的需要。</w:t>
      </w:r>
    </w:p>
    <w:p>
      <w:pPr>
        <w:pStyle w:val="2"/>
        <w:numPr>
          <w:ilvl w:val="0"/>
          <w:numId w:val="1"/>
        </w:numPr>
        <w:snapToGrid w:val="0"/>
        <w:spacing w:line="300" w:lineRule="auto"/>
        <w:ind w:left="0" w:firstLine="454" w:firstLineChars="0"/>
        <w:rPr>
          <w:rFonts w:ascii="仿宋" w:hAnsi="仿宋" w:eastAsia="仿宋"/>
          <w:sz w:val="32"/>
          <w:szCs w:val="32"/>
        </w:rPr>
      </w:pPr>
      <w:r>
        <w:rPr>
          <w:rFonts w:hint="eastAsia" w:ascii="仿宋" w:hAnsi="仿宋" w:eastAsia="仿宋"/>
          <w:sz w:val="32"/>
          <w:szCs w:val="32"/>
        </w:rPr>
        <w:t>熟练掌握资料查询、文献检索的基本方法；具备熟练运用现代技术手段获取前沿发展动态的信息和查阅文献的能力，从而不断地自我更新知识结构。</w:t>
      </w:r>
    </w:p>
    <w:p>
      <w:pPr>
        <w:pStyle w:val="2"/>
        <w:numPr>
          <w:ilvl w:val="0"/>
          <w:numId w:val="1"/>
        </w:numPr>
        <w:snapToGrid w:val="0"/>
        <w:spacing w:line="300" w:lineRule="auto"/>
        <w:ind w:left="0" w:firstLine="454" w:firstLineChars="0"/>
        <w:rPr>
          <w:rFonts w:ascii="仿宋" w:hAnsi="仿宋" w:eastAsia="仿宋"/>
          <w:sz w:val="32"/>
          <w:szCs w:val="32"/>
        </w:rPr>
      </w:pPr>
      <w:r>
        <w:rPr>
          <w:rFonts w:hint="eastAsia" w:ascii="仿宋" w:hAnsi="仿宋" w:eastAsia="仿宋"/>
          <w:sz w:val="32"/>
          <w:szCs w:val="32"/>
        </w:rPr>
        <w:t>熟练掌握一门外语，能阅读专业外文文献，具备参与国际学术交流的能力。</w:t>
      </w:r>
    </w:p>
    <w:p>
      <w:pPr>
        <w:snapToGrid w:val="0"/>
        <w:spacing w:line="300" w:lineRule="auto"/>
        <w:ind w:firstLine="640"/>
        <w:rPr>
          <w:rFonts w:ascii="黑体" w:hAnsi="黑体" w:eastAsia="黑体"/>
          <w:sz w:val="32"/>
          <w:szCs w:val="32"/>
        </w:rPr>
      </w:pPr>
      <w:r>
        <w:rPr>
          <w:rFonts w:ascii="黑体" w:hAnsi="黑体" w:eastAsia="黑体"/>
          <w:sz w:val="32"/>
          <w:szCs w:val="32"/>
        </w:rPr>
        <w:t>3. 阶段性考核和动态进出办法</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每年根据学生学习成绩、学术表现等进行综合评估，将部分不适合强基计划培养的学生分流到其它物理专业计划继续学习。</w:t>
      </w:r>
    </w:p>
    <w:p>
      <w:pPr>
        <w:snapToGrid w:val="0"/>
        <w:spacing w:line="300" w:lineRule="auto"/>
        <w:ind w:firstLine="640"/>
        <w:rPr>
          <w:rFonts w:ascii="仿宋" w:hAnsi="仿宋" w:eastAsia="仿宋"/>
          <w:sz w:val="32"/>
          <w:szCs w:val="32"/>
        </w:rPr>
      </w:pPr>
      <w:r>
        <w:rPr>
          <w:rFonts w:ascii="仿宋" w:hAnsi="仿宋" w:eastAsia="仿宋"/>
          <w:sz w:val="32"/>
          <w:szCs w:val="32"/>
        </w:rPr>
        <w:t>在大一下学期，</w:t>
      </w:r>
      <w:r>
        <w:rPr>
          <w:rFonts w:hint="eastAsia" w:ascii="仿宋" w:hAnsi="仿宋" w:eastAsia="仿宋"/>
          <w:sz w:val="32"/>
          <w:szCs w:val="32"/>
        </w:rPr>
        <w:t>对</w:t>
      </w:r>
      <w:r>
        <w:rPr>
          <w:rFonts w:ascii="仿宋" w:hAnsi="仿宋" w:eastAsia="仿宋"/>
          <w:sz w:val="32"/>
          <w:szCs w:val="32"/>
        </w:rPr>
        <w:t>强基计划</w:t>
      </w:r>
      <w:r>
        <w:rPr>
          <w:rFonts w:hint="eastAsia" w:ascii="仿宋" w:hAnsi="仿宋" w:eastAsia="仿宋"/>
          <w:sz w:val="32"/>
          <w:szCs w:val="32"/>
        </w:rPr>
        <w:t xml:space="preserve">外的物理专业学生进行二次遴选，经学生申请、物理系专家面试等环节，对学生进行综合考察，将成绩优秀且对物理学兴趣浓厚的学生选拔进入强基计划。 </w:t>
      </w:r>
    </w:p>
    <w:p>
      <w:pPr>
        <w:snapToGrid w:val="0"/>
        <w:spacing w:line="300" w:lineRule="auto"/>
        <w:ind w:firstLine="640"/>
        <w:rPr>
          <w:rFonts w:ascii="黑体" w:hAnsi="黑体" w:eastAsia="黑体"/>
          <w:sz w:val="32"/>
          <w:szCs w:val="32"/>
        </w:rPr>
      </w:pPr>
      <w:r>
        <w:rPr>
          <w:rFonts w:ascii="黑体" w:hAnsi="黑体" w:eastAsia="黑体"/>
          <w:sz w:val="32"/>
          <w:szCs w:val="32"/>
        </w:rPr>
        <w:t>4.</w:t>
      </w:r>
      <w:r>
        <w:rPr>
          <w:rFonts w:hint="eastAsia" w:ascii="黑体" w:hAnsi="黑体" w:eastAsia="黑体"/>
          <w:sz w:val="32"/>
          <w:szCs w:val="32"/>
        </w:rPr>
        <w:t>本</w:t>
      </w:r>
      <w:r>
        <w:rPr>
          <w:rFonts w:ascii="黑体" w:hAnsi="黑体" w:eastAsia="黑体"/>
          <w:sz w:val="32"/>
          <w:szCs w:val="32"/>
        </w:rPr>
        <w:t>硕博衔接办法</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将部分研究生专业基础课列入强基计划培养方案，鼓励本科生选修，获得学分的学生在研究生阶段可以免修相应课程。支持基础扎实、学术潜力大的学生尽早选择科研导师并进入科研领域。在本科直博生和推免生的选拔中，为强基计划学生提供政策支持。</w:t>
      </w:r>
    </w:p>
    <w:p>
      <w:pPr>
        <w:pStyle w:val="4"/>
        <w:snapToGrid w:val="0"/>
        <w:spacing w:line="300" w:lineRule="auto"/>
        <w:ind w:firstLine="640"/>
        <w:rPr>
          <w:rFonts w:ascii="黑体" w:hAnsi="黑体"/>
          <w:sz w:val="32"/>
        </w:rPr>
      </w:pPr>
      <w:r>
        <w:rPr>
          <w:rFonts w:ascii="黑体" w:hAnsi="黑体"/>
          <w:sz w:val="32"/>
        </w:rPr>
        <w:t>三、毕业要求及授予学位</w:t>
      </w:r>
    </w:p>
    <w:p>
      <w:pPr>
        <w:snapToGrid w:val="0"/>
        <w:spacing w:line="300" w:lineRule="auto"/>
        <w:ind w:firstLine="640"/>
        <w:rPr>
          <w:rFonts w:ascii="仿宋" w:hAnsi="仿宋" w:eastAsia="仿宋"/>
          <w:sz w:val="32"/>
          <w:szCs w:val="32"/>
        </w:rPr>
      </w:pPr>
      <w:r>
        <w:rPr>
          <w:rFonts w:hint="eastAsia" w:ascii="仿宋" w:hAnsi="仿宋" w:eastAsia="仿宋"/>
          <w:sz w:val="32"/>
          <w:szCs w:val="32"/>
        </w:rPr>
        <w:t>毕业总学分：</w:t>
      </w:r>
      <w:r>
        <w:rPr>
          <w:rFonts w:ascii="仿宋" w:hAnsi="仿宋" w:eastAsia="仿宋"/>
          <w:sz w:val="32"/>
          <w:szCs w:val="32"/>
        </w:rPr>
        <w:t>152</w:t>
      </w:r>
    </w:p>
    <w:p>
      <w:pPr>
        <w:snapToGrid w:val="0"/>
        <w:spacing w:line="300" w:lineRule="auto"/>
        <w:ind w:firstLine="640"/>
        <w:rPr>
          <w:rFonts w:ascii="仿宋" w:hAnsi="仿宋" w:eastAsia="仿宋"/>
          <w:sz w:val="32"/>
          <w:szCs w:val="32"/>
        </w:rPr>
      </w:pPr>
      <w:r>
        <w:rPr>
          <w:rFonts w:hint="eastAsia" w:ascii="仿宋" w:hAnsi="仿宋" w:eastAsia="仿宋"/>
          <w:sz w:val="32"/>
          <w:szCs w:val="32"/>
        </w:rPr>
        <w:t>授予学位：理学学士学位</w:t>
      </w:r>
    </w:p>
    <w:p>
      <w:pPr>
        <w:snapToGrid w:val="0"/>
        <w:spacing w:line="300" w:lineRule="auto"/>
        <w:ind w:firstLine="640"/>
        <w:rPr>
          <w:rFonts w:ascii="仿宋" w:hAnsi="仿宋" w:eastAsia="仿宋"/>
          <w:sz w:val="32"/>
          <w:szCs w:val="32"/>
        </w:rPr>
      </w:pPr>
      <w:r>
        <w:rPr>
          <w:rFonts w:hint="eastAsia" w:ascii="仿宋" w:hAnsi="仿宋" w:eastAsia="仿宋"/>
          <w:sz w:val="32"/>
          <w:szCs w:val="32"/>
        </w:rPr>
        <w:t>学位授予标准：需符合北京师范大学学位授予条例</w:t>
      </w:r>
    </w:p>
    <w:p>
      <w:pPr>
        <w:pStyle w:val="4"/>
        <w:snapToGrid w:val="0"/>
        <w:spacing w:line="300" w:lineRule="auto"/>
        <w:ind w:firstLine="640"/>
        <w:rPr>
          <w:rFonts w:ascii="黑体" w:hAnsi="黑体"/>
          <w:sz w:val="32"/>
        </w:rPr>
      </w:pPr>
      <w:r>
        <w:rPr>
          <w:rFonts w:ascii="黑体" w:hAnsi="黑体"/>
          <w:sz w:val="32"/>
        </w:rPr>
        <w:t>四、培养方式</w:t>
      </w:r>
    </w:p>
    <w:p>
      <w:pPr>
        <w:snapToGrid w:val="0"/>
        <w:spacing w:line="300" w:lineRule="auto"/>
        <w:ind w:firstLine="640"/>
        <w:rPr>
          <w:rFonts w:ascii="仿宋" w:hAnsi="仿宋" w:eastAsia="仿宋"/>
          <w:sz w:val="32"/>
          <w:szCs w:val="32"/>
        </w:rPr>
      </w:pPr>
      <w:r>
        <w:rPr>
          <w:rFonts w:hint="eastAsia" w:ascii="仿宋" w:hAnsi="仿宋" w:eastAsia="仿宋"/>
          <w:sz w:val="32"/>
          <w:szCs w:val="32"/>
        </w:rPr>
        <w:t>建立新生导师制，在入学后，为每名强基计划学生配备德才兼备的新生导师，为学生在学业、科研、职业规划等方面提供帮助。注重大师引领，鼓励学生跨专业、跨院校自主选择科研项目和导师。根据北师大物理系与北京计算科学研究中心的合作协议，强基计划班部分学生可选择北京计算研究中心的杰出学者（包括院士）作为学术导师，并在大三开始进入导师课题组进行科研训练。</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采取小班教学及研讨课的形式，聘请本系一流师资及北京大学等高校知名教授为强基计划学生单独授课。聘请国外知名学者讲授全英文专业课程，强化专业基础，开阔学生视野。</w:t>
      </w:r>
    </w:p>
    <w:p>
      <w:pPr>
        <w:snapToGrid w:val="0"/>
        <w:spacing w:line="300" w:lineRule="auto"/>
        <w:ind w:firstLine="640"/>
        <w:rPr>
          <w:rFonts w:ascii="仿宋" w:hAnsi="仿宋" w:eastAsia="仿宋"/>
          <w:sz w:val="32"/>
          <w:szCs w:val="32"/>
        </w:rPr>
      </w:pPr>
      <w:r>
        <w:rPr>
          <w:rFonts w:hint="eastAsia" w:ascii="仿宋" w:hAnsi="仿宋" w:eastAsia="仿宋"/>
          <w:sz w:val="32"/>
          <w:szCs w:val="32"/>
        </w:rPr>
        <w:t>以大学生物理学术竞赛、大学生物理实验竞赛等为抓手，为学生提供自由探索的学习平台，支持学生自主创新，为学生提供自主实验室条件。支持学生参与科研训练，提供国内乃至国外专业实习实践的渠道。将继续加强与北京计算科学研究中心、中科院物理所等单位的合作，鼓励学生参与高水平科研项目。</w:t>
      </w:r>
    </w:p>
    <w:p>
      <w:pPr>
        <w:pStyle w:val="2"/>
        <w:snapToGrid w:val="0"/>
        <w:spacing w:line="300" w:lineRule="auto"/>
        <w:ind w:firstLine="640"/>
        <w:rPr>
          <w:rFonts w:eastAsia="黑体" w:asciiTheme="majorHAnsi" w:hAnsiTheme="majorHAnsi" w:cstheme="majorBidi"/>
          <w:bCs/>
          <w:sz w:val="32"/>
          <w:szCs w:val="32"/>
        </w:rPr>
      </w:pPr>
      <w:r>
        <w:rPr>
          <w:rFonts w:hint="eastAsia" w:ascii="仿宋" w:hAnsi="仿宋" w:eastAsia="仿宋"/>
          <w:sz w:val="32"/>
          <w:szCs w:val="32"/>
        </w:rPr>
        <w:t>深化国际合作。支持强基计划学生进行海外学术交流，保证每名学生在读期间至少获得一次出国学习交流的资助。在物理学系已有的曼彻斯特大学</w:t>
      </w:r>
      <w:r>
        <w:rPr>
          <w:rFonts w:ascii="仿宋" w:hAnsi="仿宋" w:eastAsia="仿宋"/>
          <w:sz w:val="32"/>
          <w:szCs w:val="32"/>
        </w:rPr>
        <w:t>2+2项目、</w:t>
      </w: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rPr>
        <w:t>项目、</w:t>
      </w:r>
      <w:r>
        <w:rPr>
          <w:rFonts w:ascii="仿宋" w:hAnsi="仿宋" w:eastAsia="仿宋"/>
          <w:sz w:val="32"/>
          <w:szCs w:val="32"/>
        </w:rPr>
        <w:t>滑铁卢大学暑期</w:t>
      </w:r>
      <w:r>
        <w:rPr>
          <w:rFonts w:hint="eastAsia" w:ascii="仿宋" w:hAnsi="仿宋" w:eastAsia="仿宋"/>
          <w:sz w:val="32"/>
          <w:szCs w:val="32"/>
        </w:rPr>
        <w:t>学校等</w:t>
      </w:r>
      <w:r>
        <w:rPr>
          <w:rFonts w:ascii="仿宋" w:hAnsi="仿宋" w:eastAsia="仿宋"/>
          <w:sz w:val="32"/>
          <w:szCs w:val="32"/>
        </w:rPr>
        <w:t>项目基础上，建设更多的高水平海外</w:t>
      </w:r>
      <w:r>
        <w:rPr>
          <w:rFonts w:hint="eastAsia" w:ascii="仿宋" w:hAnsi="仿宋" w:eastAsia="仿宋"/>
          <w:sz w:val="32"/>
          <w:szCs w:val="32"/>
        </w:rPr>
        <w:t>交流项目</w:t>
      </w:r>
      <w:r>
        <w:rPr>
          <w:rFonts w:ascii="仿宋" w:hAnsi="仿宋" w:eastAsia="仿宋"/>
          <w:sz w:val="32"/>
          <w:szCs w:val="32"/>
        </w:rPr>
        <w:t>，</w:t>
      </w:r>
      <w:r>
        <w:rPr>
          <w:rFonts w:hint="eastAsia" w:ascii="仿宋" w:hAnsi="仿宋" w:eastAsia="仿宋"/>
          <w:sz w:val="32"/>
          <w:szCs w:val="32"/>
        </w:rPr>
        <w:t>尤其是一学期以上的中、长期项目，</w:t>
      </w:r>
      <w:r>
        <w:rPr>
          <w:rFonts w:ascii="仿宋" w:hAnsi="仿宋" w:eastAsia="仿宋"/>
          <w:sz w:val="32"/>
          <w:szCs w:val="32"/>
        </w:rPr>
        <w:t>满足学生海外学习需求。</w:t>
      </w:r>
    </w:p>
    <w:p>
      <w:pPr>
        <w:pStyle w:val="4"/>
        <w:spacing w:line="300" w:lineRule="auto"/>
        <w:ind w:firstLine="640"/>
        <w:rPr>
          <w:sz w:val="32"/>
        </w:rPr>
      </w:pPr>
      <w:r>
        <w:rPr>
          <w:sz w:val="32"/>
        </w:rPr>
        <w:t>五、课程设置</w:t>
      </w:r>
    </w:p>
    <w:p>
      <w:pPr>
        <w:pStyle w:val="18"/>
        <w:adjustRightInd w:val="0"/>
        <w:snapToGrid w:val="0"/>
        <w:spacing w:line="300" w:lineRule="auto"/>
        <w:ind w:firstLine="640"/>
        <w:jc w:val="left"/>
        <w:rPr>
          <w:rFonts w:hint="eastAsia" w:ascii="黑体" w:hAnsi="黑体" w:eastAsia="仿宋"/>
          <w:kern w:val="0"/>
          <w:sz w:val="28"/>
        </w:rPr>
      </w:pPr>
      <w:r>
        <w:rPr>
          <w:rFonts w:hint="eastAsia" w:ascii="仿宋" w:hAnsi="仿宋" w:eastAsia="仿宋"/>
          <w:kern w:val="0"/>
          <w:sz w:val="32"/>
          <w:szCs w:val="32"/>
        </w:rPr>
        <w:t>物理学专业的核心课程有：微积分I、微积分II、线性代数、普通化学、普通生物学B、普通生物学实验、力学、电磁学、热学、光学、量子物理学、普通物理实验AI、普通物理实验AII、数学物理方法I、理论力学A、计算物理基础、电动力学A、量子力学IA、热力学与统计物理IA、固体物理A、近物实验I、近物实验II等。</w:t>
      </w:r>
    </w:p>
    <w:p>
      <w:pPr>
        <w:pStyle w:val="4"/>
        <w:numPr>
          <w:ilvl w:val="0"/>
          <w:numId w:val="2"/>
        </w:numPr>
        <w:snapToGrid w:val="0"/>
        <w:spacing w:before="156" w:beforeLines="50" w:after="156" w:afterLines="50" w:line="300" w:lineRule="auto"/>
        <w:ind w:firstLineChars="0"/>
        <w:rPr>
          <w:sz w:val="32"/>
        </w:rPr>
      </w:pPr>
      <w:r>
        <w:rPr>
          <w:sz w:val="32"/>
        </w:rPr>
        <w:t>配套保障</w:t>
      </w:r>
    </w:p>
    <w:p>
      <w:pPr>
        <w:pStyle w:val="17"/>
        <w:snapToGrid w:val="0"/>
        <w:spacing w:line="300" w:lineRule="auto"/>
        <w:ind w:left="640" w:firstLine="0" w:firstLineChars="0"/>
        <w:rPr>
          <w:rFonts w:ascii="黑体" w:hAnsi="黑体" w:eastAsia="黑体"/>
          <w:sz w:val="32"/>
          <w:szCs w:val="32"/>
        </w:rPr>
      </w:pPr>
      <w:r>
        <w:rPr>
          <w:rFonts w:hint="eastAsia" w:ascii="黑体" w:hAnsi="黑体" w:eastAsia="黑体"/>
          <w:sz w:val="32"/>
          <w:szCs w:val="32"/>
        </w:rPr>
        <w:t>1</w:t>
      </w:r>
      <w:r>
        <w:rPr>
          <w:rFonts w:ascii="黑体" w:hAnsi="黑体" w:eastAsia="黑体"/>
          <w:sz w:val="32"/>
          <w:szCs w:val="32"/>
        </w:rPr>
        <w:t>.组织保障</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 xml:space="preserve">设立由物理系领导、班主任、知名学者、教学名师组成的物理强基计划班指导委员会，对班级的政策制定、学生选拔、经费使用等进行决策和监督。选派一名专职教师负责班级的日常管理和协调联络工作。建立完善、系统的毕业生跟踪机制，及时了解毕业生发展动态。 </w:t>
      </w:r>
    </w:p>
    <w:p>
      <w:pPr>
        <w:pStyle w:val="17"/>
        <w:snapToGrid w:val="0"/>
        <w:spacing w:line="300" w:lineRule="auto"/>
        <w:ind w:left="640" w:firstLine="0" w:firstLineChars="0"/>
        <w:rPr>
          <w:rFonts w:ascii="黑体" w:hAnsi="黑体" w:eastAsia="黑体"/>
          <w:sz w:val="32"/>
          <w:szCs w:val="32"/>
        </w:rPr>
      </w:pPr>
      <w:r>
        <w:rPr>
          <w:rFonts w:hint="eastAsia" w:ascii="黑体" w:hAnsi="黑体" w:eastAsia="黑体"/>
          <w:sz w:val="32"/>
          <w:szCs w:val="32"/>
        </w:rPr>
        <w:t>2.经费保障</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将下拨的强基计划培养经费，并与其它人才培养经费统筹使用。每年的经费预算经工作小组讨论通过，重点用于学生国内国际交流、外聘教师、开展科研创新及实践活动等。为保证国际交流的质量和效果，将加大强基班学生的出国交流资助力度。</w:t>
      </w:r>
      <w:r>
        <w:rPr>
          <w:rFonts w:ascii="仿宋" w:hAnsi="仿宋" w:eastAsia="仿宋"/>
          <w:sz w:val="32"/>
          <w:szCs w:val="32"/>
        </w:rPr>
        <w:t xml:space="preserve"> </w:t>
      </w:r>
    </w:p>
    <w:p>
      <w:pPr>
        <w:pStyle w:val="17"/>
        <w:snapToGrid w:val="0"/>
        <w:spacing w:line="300" w:lineRule="auto"/>
        <w:ind w:left="640" w:firstLine="0" w:firstLineChars="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师资保障</w:t>
      </w:r>
    </w:p>
    <w:p>
      <w:pPr>
        <w:pStyle w:val="2"/>
        <w:snapToGrid w:val="0"/>
        <w:spacing w:line="300" w:lineRule="auto"/>
        <w:ind w:firstLine="640"/>
        <w:rPr>
          <w:rFonts w:ascii="仿宋" w:hAnsi="仿宋" w:eastAsia="仿宋"/>
          <w:sz w:val="32"/>
          <w:szCs w:val="32"/>
        </w:rPr>
      </w:pPr>
      <w:r>
        <w:rPr>
          <w:rFonts w:ascii="仿宋" w:hAnsi="仿宋" w:eastAsia="仿宋"/>
          <w:sz w:val="32"/>
          <w:szCs w:val="32"/>
        </w:rPr>
        <w:t>制定</w:t>
      </w:r>
      <w:r>
        <w:rPr>
          <w:rFonts w:hint="eastAsia" w:ascii="仿宋" w:hAnsi="仿宋" w:eastAsia="仿宋"/>
          <w:sz w:val="32"/>
          <w:szCs w:val="32"/>
        </w:rPr>
        <w:t>强基计划班</w:t>
      </w:r>
      <w:r>
        <w:rPr>
          <w:rFonts w:ascii="仿宋" w:hAnsi="仿宋" w:eastAsia="仿宋"/>
          <w:sz w:val="32"/>
          <w:szCs w:val="32"/>
        </w:rPr>
        <w:t>教学工作细则，</w:t>
      </w:r>
      <w:r>
        <w:rPr>
          <w:rFonts w:hint="eastAsia" w:ascii="仿宋" w:hAnsi="仿宋" w:eastAsia="仿宋"/>
          <w:sz w:val="32"/>
          <w:szCs w:val="32"/>
        </w:rPr>
        <w:t>确保一流师资小班授课。</w:t>
      </w:r>
      <w:r>
        <w:rPr>
          <w:rFonts w:ascii="仿宋" w:hAnsi="仿宋" w:eastAsia="仿宋"/>
          <w:sz w:val="32"/>
          <w:szCs w:val="32"/>
        </w:rPr>
        <w:t>对从事相关教学、管理工作的教师予以政策的倾斜，提高教师授课课时费，奖励从事</w:t>
      </w:r>
      <w:r>
        <w:rPr>
          <w:rFonts w:hint="eastAsia" w:ascii="仿宋" w:hAnsi="仿宋" w:eastAsia="仿宋"/>
          <w:sz w:val="32"/>
          <w:szCs w:val="32"/>
        </w:rPr>
        <w:t>相关</w:t>
      </w:r>
      <w:r>
        <w:rPr>
          <w:rFonts w:ascii="仿宋" w:hAnsi="仿宋" w:eastAsia="仿宋"/>
          <w:sz w:val="32"/>
          <w:szCs w:val="32"/>
        </w:rPr>
        <w:t>管理工作的教师。聘请国内外名师为</w:t>
      </w:r>
      <w:r>
        <w:rPr>
          <w:rFonts w:hint="eastAsia" w:ascii="仿宋" w:hAnsi="仿宋" w:eastAsia="仿宋"/>
          <w:sz w:val="32"/>
          <w:szCs w:val="32"/>
        </w:rPr>
        <w:t>强基</w:t>
      </w:r>
      <w:r>
        <w:rPr>
          <w:rFonts w:ascii="仿宋" w:hAnsi="仿宋" w:eastAsia="仿宋"/>
          <w:sz w:val="32"/>
          <w:szCs w:val="32"/>
        </w:rPr>
        <w:t>班授课，进一步提升课堂教学质量，扩展学生国际视野。</w:t>
      </w:r>
    </w:p>
    <w:p>
      <w:pPr>
        <w:pStyle w:val="17"/>
        <w:snapToGrid w:val="0"/>
        <w:spacing w:line="300" w:lineRule="auto"/>
        <w:ind w:left="640" w:firstLine="0" w:firstLineChars="0"/>
        <w:rPr>
          <w:rFonts w:ascii="黑体" w:hAnsi="黑体" w:eastAsia="黑体"/>
          <w:sz w:val="32"/>
          <w:szCs w:val="32"/>
        </w:rPr>
      </w:pPr>
      <w:r>
        <w:rPr>
          <w:rFonts w:hint="eastAsia" w:ascii="黑体" w:hAnsi="黑体" w:eastAsia="黑体"/>
          <w:sz w:val="32"/>
          <w:szCs w:val="32"/>
        </w:rPr>
        <w:t>4.政策保障</w:t>
      </w:r>
    </w:p>
    <w:p>
      <w:pPr>
        <w:pStyle w:val="2"/>
        <w:snapToGrid w:val="0"/>
        <w:spacing w:line="300" w:lineRule="auto"/>
        <w:ind w:firstLine="640"/>
        <w:rPr>
          <w:rFonts w:ascii="仿宋" w:hAnsi="仿宋" w:eastAsia="仿宋"/>
          <w:sz w:val="32"/>
          <w:szCs w:val="32"/>
        </w:rPr>
      </w:pPr>
      <w:r>
        <w:rPr>
          <w:rFonts w:hint="eastAsia" w:ascii="仿宋" w:hAnsi="仿宋" w:eastAsia="仿宋"/>
          <w:sz w:val="32"/>
          <w:szCs w:val="32"/>
        </w:rPr>
        <w:t>在评定奖学金、科研项目申报、本硕博衔接培养、公派留学等方面为强基计划学生提供政策倾斜，优先安排。</w:t>
      </w:r>
    </w:p>
    <w:p>
      <w:pPr>
        <w:snapToGrid w:val="0"/>
        <w:spacing w:line="300" w:lineRule="auto"/>
        <w:ind w:firstLine="640"/>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FuturaCnd">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4221"/>
    <w:multiLevelType w:val="multilevel"/>
    <w:tmpl w:val="13AF4221"/>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
    <w:nsid w:val="7D9E6E66"/>
    <w:multiLevelType w:val="multilevel"/>
    <w:tmpl w:val="7D9E6E66"/>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8F"/>
    <w:rsid w:val="000101CB"/>
    <w:rsid w:val="0002617D"/>
    <w:rsid w:val="000628CF"/>
    <w:rsid w:val="000724F0"/>
    <w:rsid w:val="0008378F"/>
    <w:rsid w:val="00087914"/>
    <w:rsid w:val="000A3211"/>
    <w:rsid w:val="000D4545"/>
    <w:rsid w:val="00101D91"/>
    <w:rsid w:val="00150FF3"/>
    <w:rsid w:val="00160912"/>
    <w:rsid w:val="001B2F50"/>
    <w:rsid w:val="001D3941"/>
    <w:rsid w:val="001D5606"/>
    <w:rsid w:val="001D5AE3"/>
    <w:rsid w:val="001F6E56"/>
    <w:rsid w:val="00251A24"/>
    <w:rsid w:val="00265FAB"/>
    <w:rsid w:val="00274251"/>
    <w:rsid w:val="00281220"/>
    <w:rsid w:val="002C2A4A"/>
    <w:rsid w:val="00300695"/>
    <w:rsid w:val="00307DF9"/>
    <w:rsid w:val="00311611"/>
    <w:rsid w:val="003718F6"/>
    <w:rsid w:val="00382D88"/>
    <w:rsid w:val="00384FE3"/>
    <w:rsid w:val="003934B1"/>
    <w:rsid w:val="003D7F63"/>
    <w:rsid w:val="00417DA1"/>
    <w:rsid w:val="004215E2"/>
    <w:rsid w:val="0046491B"/>
    <w:rsid w:val="00495CB6"/>
    <w:rsid w:val="004A3A5A"/>
    <w:rsid w:val="004C1912"/>
    <w:rsid w:val="005A1BAC"/>
    <w:rsid w:val="005B07FC"/>
    <w:rsid w:val="005B3AEA"/>
    <w:rsid w:val="005D0785"/>
    <w:rsid w:val="005E636A"/>
    <w:rsid w:val="005F7904"/>
    <w:rsid w:val="006303FC"/>
    <w:rsid w:val="00631C36"/>
    <w:rsid w:val="00684B93"/>
    <w:rsid w:val="006B0873"/>
    <w:rsid w:val="006B17DA"/>
    <w:rsid w:val="006B1FF9"/>
    <w:rsid w:val="006B5CA6"/>
    <w:rsid w:val="00705D30"/>
    <w:rsid w:val="00707C38"/>
    <w:rsid w:val="007242F6"/>
    <w:rsid w:val="007467C1"/>
    <w:rsid w:val="007E5515"/>
    <w:rsid w:val="008173F0"/>
    <w:rsid w:val="0088524C"/>
    <w:rsid w:val="008E5F3F"/>
    <w:rsid w:val="0091055A"/>
    <w:rsid w:val="00930BF7"/>
    <w:rsid w:val="00932580"/>
    <w:rsid w:val="00986760"/>
    <w:rsid w:val="00991C5E"/>
    <w:rsid w:val="009C7E4C"/>
    <w:rsid w:val="00A1247B"/>
    <w:rsid w:val="00A45C19"/>
    <w:rsid w:val="00A61B65"/>
    <w:rsid w:val="00A722AD"/>
    <w:rsid w:val="00AA2AE3"/>
    <w:rsid w:val="00AB3A7A"/>
    <w:rsid w:val="00AC16C9"/>
    <w:rsid w:val="00AD4103"/>
    <w:rsid w:val="00B106C1"/>
    <w:rsid w:val="00B3578F"/>
    <w:rsid w:val="00B6648F"/>
    <w:rsid w:val="00B81480"/>
    <w:rsid w:val="00BA0F69"/>
    <w:rsid w:val="00BA2D51"/>
    <w:rsid w:val="00BB7F2E"/>
    <w:rsid w:val="00C1477B"/>
    <w:rsid w:val="00C46411"/>
    <w:rsid w:val="00C77EF2"/>
    <w:rsid w:val="00C80BE5"/>
    <w:rsid w:val="00CE2ABA"/>
    <w:rsid w:val="00D00516"/>
    <w:rsid w:val="00D42780"/>
    <w:rsid w:val="00D83C1F"/>
    <w:rsid w:val="00D85768"/>
    <w:rsid w:val="00D93A41"/>
    <w:rsid w:val="00DA6418"/>
    <w:rsid w:val="00DA6DDF"/>
    <w:rsid w:val="00DD34BC"/>
    <w:rsid w:val="00DE40E5"/>
    <w:rsid w:val="00DF4D17"/>
    <w:rsid w:val="00E143FB"/>
    <w:rsid w:val="00E3532E"/>
    <w:rsid w:val="00E533B2"/>
    <w:rsid w:val="00E54153"/>
    <w:rsid w:val="00EA2C8E"/>
    <w:rsid w:val="00EC0E02"/>
    <w:rsid w:val="00F07D5C"/>
    <w:rsid w:val="00F202E0"/>
    <w:rsid w:val="00F22A32"/>
    <w:rsid w:val="00F8050D"/>
    <w:rsid w:val="00F97695"/>
    <w:rsid w:val="00FB0EA5"/>
    <w:rsid w:val="00FE1943"/>
    <w:rsid w:val="029049E3"/>
    <w:rsid w:val="24783F7E"/>
    <w:rsid w:val="26AB3CEB"/>
    <w:rsid w:val="47F03374"/>
    <w:rsid w:val="4C70129E"/>
    <w:rsid w:val="4F7A0FD0"/>
    <w:rsid w:val="5A93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480" w:firstLineChars="200"/>
      <w:jc w:val="both"/>
    </w:pPr>
    <w:rPr>
      <w:rFonts w:asciiTheme="minorEastAsia" w:hAnsiTheme="minorEastAsia" w:eastAsiaTheme="minorEastAsia" w:cstheme="minorBidi"/>
      <w:kern w:val="2"/>
      <w:sz w:val="24"/>
      <w:szCs w:val="24"/>
      <w:lang w:val="en-US" w:eastAsia="zh-CN" w:bidi="ar-SA"/>
    </w:rPr>
  </w:style>
  <w:style w:type="paragraph" w:styleId="3">
    <w:name w:val="heading 1"/>
    <w:basedOn w:val="1"/>
    <w:next w:val="1"/>
    <w:link w:val="12"/>
    <w:qFormat/>
    <w:uiPriority w:val="9"/>
    <w:pPr>
      <w:keepNext/>
      <w:keepLines/>
      <w:spacing w:line="360" w:lineRule="auto"/>
      <w:jc w:val="center"/>
      <w:outlineLvl w:val="0"/>
    </w:pPr>
    <w:rPr>
      <w:rFonts w:eastAsia="方正小标宋简体"/>
      <w:bCs/>
      <w:kern w:val="44"/>
      <w:sz w:val="40"/>
      <w:szCs w:val="44"/>
    </w:rPr>
  </w:style>
  <w:style w:type="paragraph" w:styleId="4">
    <w:name w:val="heading 2"/>
    <w:basedOn w:val="1"/>
    <w:next w:val="1"/>
    <w:link w:val="11"/>
    <w:unhideWhenUsed/>
    <w:qFormat/>
    <w:uiPriority w:val="9"/>
    <w:pPr>
      <w:keepNext/>
      <w:keepLines/>
      <w:outlineLvl w:val="1"/>
    </w:pPr>
    <w:rPr>
      <w:rFonts w:eastAsia="黑体" w:asciiTheme="majorHAnsi" w:hAnsiTheme="majorHAnsi" w:cstheme="majorBidi"/>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unhideWhenUsed/>
    <w:uiPriority w:val="99"/>
    <w:pPr>
      <w:ind w:firstLine="420"/>
    </w:pPr>
  </w:style>
  <w:style w:type="paragraph" w:styleId="5">
    <w:name w:val="Balloon Text"/>
    <w:basedOn w:val="1"/>
    <w:link w:val="16"/>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link w:val="13"/>
    <w:qFormat/>
    <w:uiPriority w:val="10"/>
    <w:pPr>
      <w:ind w:firstLine="0" w:firstLineChars="0"/>
      <w:jc w:val="center"/>
      <w:outlineLvl w:val="0"/>
    </w:pPr>
    <w:rPr>
      <w:rFonts w:eastAsia="方正小标宋简体" w:asciiTheme="majorHAnsi" w:hAnsiTheme="majorHAnsi" w:cstheme="majorBidi"/>
      <w:bCs/>
      <w:sz w:val="40"/>
      <w:szCs w:val="32"/>
    </w:rPr>
  </w:style>
  <w:style w:type="character" w:customStyle="1" w:styleId="11">
    <w:name w:val="标题 2 Char"/>
    <w:basedOn w:val="10"/>
    <w:link w:val="4"/>
    <w:qFormat/>
    <w:uiPriority w:val="9"/>
    <w:rPr>
      <w:rFonts w:eastAsia="黑体" w:asciiTheme="majorHAnsi" w:hAnsiTheme="majorHAnsi" w:cstheme="majorBidi"/>
      <w:bCs/>
      <w:szCs w:val="32"/>
    </w:rPr>
  </w:style>
  <w:style w:type="character" w:customStyle="1" w:styleId="12">
    <w:name w:val="标题 1 Char"/>
    <w:basedOn w:val="10"/>
    <w:link w:val="3"/>
    <w:qFormat/>
    <w:uiPriority w:val="9"/>
    <w:rPr>
      <w:rFonts w:eastAsia="方正小标宋简体"/>
      <w:bCs/>
      <w:kern w:val="44"/>
      <w:sz w:val="40"/>
      <w:szCs w:val="44"/>
    </w:rPr>
  </w:style>
  <w:style w:type="character" w:customStyle="1" w:styleId="13">
    <w:name w:val="标题 Char"/>
    <w:basedOn w:val="10"/>
    <w:link w:val="8"/>
    <w:qFormat/>
    <w:uiPriority w:val="10"/>
    <w:rPr>
      <w:rFonts w:eastAsia="方正小标宋简体" w:asciiTheme="majorHAnsi" w:hAnsiTheme="majorHAnsi" w:cstheme="majorBidi"/>
      <w:bCs/>
      <w:sz w:val="40"/>
      <w:szCs w:val="32"/>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rFonts w:eastAsia="仿宋_GB2312" w:cstheme="minorBidi"/>
      <w:kern w:val="2"/>
      <w:sz w:val="18"/>
      <w:szCs w:val="18"/>
    </w:rPr>
  </w:style>
  <w:style w:type="paragraph" w:styleId="17">
    <w:name w:val="List Paragraph"/>
    <w:basedOn w:val="1"/>
    <w:qFormat/>
    <w:uiPriority w:val="34"/>
    <w:pPr>
      <w:spacing w:line="240" w:lineRule="auto"/>
      <w:ind w:firstLine="420"/>
    </w:pPr>
    <w:rPr>
      <w:rFonts w:asciiTheme="minorHAnsi" w:hAnsiTheme="minorHAnsi"/>
      <w:sz w:val="21"/>
    </w:rPr>
  </w:style>
  <w:style w:type="paragraph" w:customStyle="1" w:styleId="18">
    <w:name w:val="列出段落11"/>
    <w:basedOn w:val="1"/>
    <w:qFormat/>
    <w:uiPriority w:val="34"/>
    <w:pPr>
      <w:widowControl w:val="0"/>
      <w:spacing w:line="240" w:lineRule="auto"/>
      <w:ind w:firstLine="420"/>
    </w:pPr>
    <w:rPr>
      <w:rFonts w:ascii="Times New Roman" w:hAnsi="Times New Roman" w:eastAsia="宋体" w:cs="Times New Roman"/>
      <w:sz w:val="21"/>
      <w:szCs w:val="20"/>
    </w:rPr>
  </w:style>
  <w:style w:type="character" w:customStyle="1" w:styleId="19">
    <w:name w:val="标题 2 字符"/>
    <w:qFormat/>
    <w:uiPriority w:val="9"/>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385</Words>
  <Characters>2199</Characters>
  <Lines>18</Lines>
  <Paragraphs>5</Paragraphs>
  <TotalTime>5</TotalTime>
  <ScaleCrop>false</ScaleCrop>
  <LinksUpToDate>false</LinksUpToDate>
  <CharactersWithSpaces>2579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2020-05-10T03:09:00Z</dcterms:created>
  <dc:creator>xxs-341</dc:creator>
  <cp:lastModifiedBy>lrs</cp:lastModifiedBy>
  <cp:lastPrinted>2020-01-19T08:06:00Z</cp:lastPrinted>
  <dcterms:modified xsi:type="dcterms:W3CDTF">2020-05-22T10:30:58Z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